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26938" w14:textId="6DB746DB" w:rsidR="00A30DD2" w:rsidRDefault="00E77E7A" w:rsidP="00E52CC1">
      <w:pPr>
        <w:jc w:val="center"/>
        <w:rPr>
          <w:rFonts w:ascii="ＭＳ ゴシック" w:eastAsia="ＭＳ ゴシック" w:hAnsi="ＭＳ ゴシック"/>
        </w:rPr>
      </w:pPr>
      <w:r>
        <w:rPr>
          <w:rFonts w:ascii="ＭＳ ゴシック" w:eastAsia="ＭＳ ゴシック" w:hAnsi="ＭＳ ゴシック" w:hint="eastAsia"/>
        </w:rPr>
        <w:t>代行払精算事業規約</w:t>
      </w:r>
    </w:p>
    <w:p w14:paraId="0A7B6BBA" w14:textId="77777777" w:rsidR="00A30DD2" w:rsidRDefault="00A30DD2"/>
    <w:p w14:paraId="3BE08501" w14:textId="77777777" w:rsidR="00A30DD2" w:rsidRDefault="00E77E7A">
      <w:r>
        <w:rPr>
          <w:rFonts w:hint="eastAsia"/>
        </w:rPr>
        <w:t>（目　的）</w:t>
      </w:r>
    </w:p>
    <w:p w14:paraId="2F5B4750" w14:textId="77777777" w:rsidR="00A30DD2" w:rsidRDefault="00E77E7A">
      <w:pPr>
        <w:ind w:left="210" w:hangingChars="100" w:hanging="210"/>
      </w:pPr>
      <w:r>
        <w:rPr>
          <w:rFonts w:hint="eastAsia"/>
        </w:rPr>
        <w:t>第１条　この規約は、本組合が定款第○条第○号に掲げる事業（以下「代行払精算事業」という。）により、○○○と締結した代行払契約を推進するために必要な組合員の精算手続、方法等その他必要事項を定め、もって代行払精算事業の円滑な運営を図ることを目的とする。</w:t>
      </w:r>
    </w:p>
    <w:p w14:paraId="5BCB9AA2" w14:textId="77777777" w:rsidR="00A30DD2" w:rsidRDefault="00A30DD2"/>
    <w:p w14:paraId="2CF81923" w14:textId="77777777" w:rsidR="00A30DD2" w:rsidRDefault="00E77E7A">
      <w:r>
        <w:rPr>
          <w:rFonts w:hint="eastAsia"/>
        </w:rPr>
        <w:t>（全商品の代行払）</w:t>
      </w:r>
    </w:p>
    <w:p w14:paraId="44E916DA" w14:textId="77777777" w:rsidR="00A30DD2" w:rsidRDefault="00E77E7A">
      <w:pPr>
        <w:ind w:left="210" w:hangingChars="100" w:hanging="210"/>
      </w:pPr>
      <w:r>
        <w:rPr>
          <w:rFonts w:hint="eastAsia"/>
        </w:rPr>
        <w:t>第２条　本組合は、前条の目的を遂行するために、組合員は○○○から仕入れた全商品の代行払を行う。</w:t>
      </w:r>
    </w:p>
    <w:p w14:paraId="3D1E7972" w14:textId="77777777" w:rsidR="00A30DD2" w:rsidRDefault="00E77E7A">
      <w:pPr>
        <w:ind w:left="210" w:hangingChars="100" w:hanging="210"/>
      </w:pPr>
      <w:r>
        <w:rPr>
          <w:rFonts w:hint="eastAsia"/>
        </w:rPr>
        <w:t>２　組合員は、○○○との取引について、本規約の定める代行払精算制度以外の精算方法を用いてはならない。</w:t>
      </w:r>
    </w:p>
    <w:p w14:paraId="5525D27E" w14:textId="77777777" w:rsidR="00A30DD2" w:rsidRDefault="00A30DD2"/>
    <w:p w14:paraId="270921F0" w14:textId="77777777" w:rsidR="00A30DD2" w:rsidRDefault="00E77E7A">
      <w:r>
        <w:rPr>
          <w:rFonts w:hint="eastAsia"/>
        </w:rPr>
        <w:t>（精算所）</w:t>
      </w:r>
    </w:p>
    <w:p w14:paraId="2467B8D3" w14:textId="77777777" w:rsidR="00A30DD2" w:rsidRDefault="00E77E7A">
      <w:r>
        <w:rPr>
          <w:rFonts w:hint="eastAsia"/>
        </w:rPr>
        <w:t>第３条　組合員の精算は、本組合の定めた精算所で行う。</w:t>
      </w:r>
    </w:p>
    <w:p w14:paraId="3A2A38D1" w14:textId="77777777" w:rsidR="00A30DD2" w:rsidRDefault="00A30DD2"/>
    <w:p w14:paraId="00D26C51" w14:textId="77777777" w:rsidR="00A30DD2" w:rsidRDefault="00E77E7A">
      <w:r>
        <w:rPr>
          <w:rFonts w:hint="eastAsia"/>
        </w:rPr>
        <w:t>（精算伝票）</w:t>
      </w:r>
    </w:p>
    <w:p w14:paraId="2392105B" w14:textId="77777777" w:rsidR="00A30DD2" w:rsidRDefault="00E77E7A">
      <w:r>
        <w:rPr>
          <w:rFonts w:hint="eastAsia"/>
        </w:rPr>
        <w:t>第４条　前条の精算は、本組合所定の精算伝票をもって行う。</w:t>
      </w:r>
    </w:p>
    <w:p w14:paraId="358A3DFD" w14:textId="77777777" w:rsidR="00A30DD2" w:rsidRDefault="00A30DD2"/>
    <w:p w14:paraId="1378EA78" w14:textId="77777777" w:rsidR="00A30DD2" w:rsidRDefault="00E77E7A">
      <w:r>
        <w:rPr>
          <w:rFonts w:hint="eastAsia"/>
        </w:rPr>
        <w:t>（精算日）</w:t>
      </w:r>
    </w:p>
    <w:p w14:paraId="20C7A768" w14:textId="77777777" w:rsidR="00A30DD2" w:rsidRDefault="00E77E7A">
      <w:r>
        <w:rPr>
          <w:rFonts w:hint="eastAsia"/>
        </w:rPr>
        <w:t>第５条　組合員の精算日は、仕入れの日を含め○日目とする。</w:t>
      </w:r>
    </w:p>
    <w:p w14:paraId="266E01E5" w14:textId="77777777" w:rsidR="00A30DD2" w:rsidRDefault="00E77E7A">
      <w:pPr>
        <w:ind w:left="210" w:hangingChars="100" w:hanging="210"/>
      </w:pPr>
      <w:r>
        <w:rPr>
          <w:rFonts w:hint="eastAsia"/>
        </w:rPr>
        <w:t>２　前項の規定にかかわらず、本組合の精算伝票の提示が仕入れの日を含め○日以後行われたときは、提示された日の翌日に精算することを妨げない。</w:t>
      </w:r>
    </w:p>
    <w:p w14:paraId="654B821C" w14:textId="77777777" w:rsidR="00A30DD2" w:rsidRDefault="00E77E7A">
      <w:r>
        <w:rPr>
          <w:rFonts w:hint="eastAsia"/>
        </w:rPr>
        <w:t>３　年末又は正月用商品の取引及び精算については、別に定める。</w:t>
      </w:r>
    </w:p>
    <w:p w14:paraId="1CCB56CC" w14:textId="77777777" w:rsidR="00A30DD2" w:rsidRDefault="00E77E7A">
      <w:pPr>
        <w:ind w:left="210" w:hangingChars="100" w:hanging="210"/>
      </w:pPr>
      <w:r>
        <w:rPr>
          <w:rFonts w:hint="eastAsia"/>
        </w:rPr>
        <w:t>４　特殊な取扱いを要する商品又は特殊な取引に用いる商品については、第１項及び第３項の規定にかかわらず、その特殊な事情に応じた精算をすることができる。特殊な事情を有する組合員は、その旨本組合に申し出て、特殊な精算の方法を取り決めなければならない。</w:t>
      </w:r>
    </w:p>
    <w:p w14:paraId="3FCD95CB" w14:textId="77777777" w:rsidR="00A30DD2" w:rsidRDefault="00A30DD2"/>
    <w:p w14:paraId="4CF863BD" w14:textId="77777777" w:rsidR="00A30DD2" w:rsidRDefault="00E77E7A">
      <w:r>
        <w:rPr>
          <w:rFonts w:hint="eastAsia"/>
        </w:rPr>
        <w:t>（精算期間）</w:t>
      </w:r>
    </w:p>
    <w:p w14:paraId="70171F13" w14:textId="77777777" w:rsidR="00A30DD2" w:rsidRDefault="00E77E7A">
      <w:r>
        <w:rPr>
          <w:rFonts w:hint="eastAsia"/>
        </w:rPr>
        <w:t>第６条　精算所の精算時間は、○時○分より○時○分までとする。</w:t>
      </w:r>
      <w:r>
        <w:rPr>
          <w:rFonts w:hint="eastAsia"/>
        </w:rPr>
        <w:t xml:space="preserve"> </w:t>
      </w:r>
    </w:p>
    <w:p w14:paraId="42101ECD" w14:textId="77777777" w:rsidR="00A30DD2" w:rsidRDefault="00A30DD2"/>
    <w:p w14:paraId="7F7A84E5" w14:textId="77777777" w:rsidR="00A30DD2" w:rsidRDefault="00E77E7A">
      <w:r>
        <w:rPr>
          <w:rFonts w:hint="eastAsia"/>
        </w:rPr>
        <w:t>（精算の方法）</w:t>
      </w:r>
    </w:p>
    <w:p w14:paraId="1A495103" w14:textId="77777777" w:rsidR="00A30DD2" w:rsidRDefault="00E77E7A">
      <w:pPr>
        <w:ind w:left="210" w:hangingChars="100" w:hanging="210"/>
      </w:pPr>
      <w:r>
        <w:rPr>
          <w:rFonts w:hint="eastAsia"/>
        </w:rPr>
        <w:t>第７条　精算の方法は、現金又は小切手とする。ただし、小切手の場合は振出日が当日までのものとし、先付小切手は受理しない。</w:t>
      </w:r>
    </w:p>
    <w:p w14:paraId="09B59179" w14:textId="77777777" w:rsidR="00A30DD2" w:rsidRDefault="00A30DD2"/>
    <w:p w14:paraId="159A76F9" w14:textId="77777777" w:rsidR="00A30DD2" w:rsidRDefault="00E77E7A">
      <w:r>
        <w:rPr>
          <w:rFonts w:hint="eastAsia"/>
        </w:rPr>
        <w:lastRenderedPageBreak/>
        <w:t>（内金の禁止）</w:t>
      </w:r>
    </w:p>
    <w:p w14:paraId="61D2E1C8" w14:textId="77777777" w:rsidR="00A30DD2" w:rsidRDefault="00E77E7A">
      <w:r>
        <w:rPr>
          <w:rFonts w:hint="eastAsia"/>
        </w:rPr>
        <w:t>第８条　組合員の精算において内入金は認めない。</w:t>
      </w:r>
    </w:p>
    <w:p w14:paraId="722C9FC1" w14:textId="77777777" w:rsidR="00A30DD2" w:rsidRDefault="00A30DD2"/>
    <w:p w14:paraId="34F990BF" w14:textId="77777777" w:rsidR="00A30DD2" w:rsidRDefault="00E77E7A">
      <w:r>
        <w:rPr>
          <w:rFonts w:hint="eastAsia"/>
        </w:rPr>
        <w:t>（仕入訂正）</w:t>
      </w:r>
    </w:p>
    <w:p w14:paraId="6532BCF0" w14:textId="77777777" w:rsidR="00A30DD2" w:rsidRDefault="00E77E7A">
      <w:r>
        <w:rPr>
          <w:rFonts w:hint="eastAsia"/>
        </w:rPr>
        <w:t>第９条　仕入の訂正は、その仕入市場に申し出ることとし、当日の精算については、そのまま精算することを原則とする。</w:t>
      </w:r>
    </w:p>
    <w:p w14:paraId="66871CF3" w14:textId="77777777" w:rsidR="00A30DD2" w:rsidRDefault="00A30DD2"/>
    <w:p w14:paraId="686E8758" w14:textId="77777777" w:rsidR="00A30DD2" w:rsidRDefault="00E77E7A">
      <w:r>
        <w:rPr>
          <w:rFonts w:hint="eastAsia"/>
        </w:rPr>
        <w:t>（精算の成立）</w:t>
      </w:r>
    </w:p>
    <w:p w14:paraId="734B187A" w14:textId="77777777" w:rsidR="00A30DD2" w:rsidRDefault="00E77E7A">
      <w:pPr>
        <w:ind w:left="210" w:hangingChars="100" w:hanging="210"/>
        <w:rPr>
          <w:rFonts w:ascii="ＭＳ 明朝" w:hAnsi="ＭＳ 明朝"/>
        </w:rPr>
      </w:pPr>
      <w:r>
        <w:rPr>
          <w:rFonts w:ascii="ＭＳ 明朝" w:hAnsi="ＭＳ 明朝" w:hint="eastAsia"/>
        </w:rPr>
        <w:t>第10条　精算の成立時期は、第３条で規定する精算所で精算をなし、その領収の成立したときをもって精算成立の時期とする。</w:t>
      </w:r>
    </w:p>
    <w:p w14:paraId="22F6F489" w14:textId="77777777" w:rsidR="00A30DD2" w:rsidRDefault="00A30DD2">
      <w:pPr>
        <w:rPr>
          <w:rFonts w:ascii="ＭＳ 明朝" w:hAnsi="ＭＳ 明朝"/>
        </w:rPr>
      </w:pPr>
    </w:p>
    <w:p w14:paraId="770FFB1E" w14:textId="77777777" w:rsidR="00A30DD2" w:rsidRDefault="00E77E7A">
      <w:pPr>
        <w:rPr>
          <w:rFonts w:ascii="ＭＳ 明朝" w:hAnsi="ＭＳ 明朝"/>
        </w:rPr>
      </w:pPr>
      <w:r>
        <w:rPr>
          <w:rFonts w:ascii="ＭＳ 明朝" w:hAnsi="ＭＳ 明朝" w:hint="eastAsia"/>
        </w:rPr>
        <w:t>（代行払停止）</w:t>
      </w:r>
    </w:p>
    <w:p w14:paraId="3B219573" w14:textId="77777777" w:rsidR="00A30DD2" w:rsidRDefault="00E77E7A">
      <w:pPr>
        <w:rPr>
          <w:rFonts w:ascii="ＭＳ 明朝" w:hAnsi="ＭＳ 明朝"/>
        </w:rPr>
      </w:pPr>
      <w:r>
        <w:rPr>
          <w:rFonts w:ascii="ＭＳ 明朝" w:hAnsi="ＭＳ 明朝" w:hint="eastAsia"/>
        </w:rPr>
        <w:t>第11条　次の各号に該当する組合員は、代行払を停止する。</w:t>
      </w:r>
    </w:p>
    <w:p w14:paraId="126F37D1" w14:textId="77777777" w:rsidR="00A30DD2" w:rsidRDefault="00E77E7A">
      <w:pPr>
        <w:rPr>
          <w:rFonts w:ascii="ＭＳ 明朝" w:hAnsi="ＭＳ 明朝"/>
        </w:rPr>
      </w:pPr>
      <w:r>
        <w:rPr>
          <w:rFonts w:ascii="ＭＳ 明朝" w:hAnsi="ＭＳ 明朝" w:hint="eastAsia"/>
        </w:rPr>
        <w:t>（１）第５条の定める精算日までに精算しないとき</w:t>
      </w:r>
    </w:p>
    <w:p w14:paraId="4FBD1B00" w14:textId="77777777" w:rsidR="00A30DD2" w:rsidRDefault="00E77E7A">
      <w:pPr>
        <w:rPr>
          <w:rFonts w:ascii="ＭＳ 明朝" w:hAnsi="ＭＳ 明朝"/>
        </w:rPr>
      </w:pPr>
      <w:r>
        <w:rPr>
          <w:rFonts w:ascii="ＭＳ 明朝" w:hAnsi="ＭＳ 明朝" w:hint="eastAsia"/>
        </w:rPr>
        <w:t>（２）仕入及び精算に関し特に不正があり、又は不正をなす恐れあると理事会が認めたと</w:t>
      </w:r>
    </w:p>
    <w:p w14:paraId="24C1B32E" w14:textId="77777777" w:rsidR="00A30DD2" w:rsidRDefault="00E77E7A">
      <w:pPr>
        <w:rPr>
          <w:rFonts w:ascii="ＭＳ 明朝" w:hAnsi="ＭＳ 明朝"/>
        </w:rPr>
      </w:pPr>
      <w:r>
        <w:rPr>
          <w:rFonts w:ascii="ＭＳ 明朝" w:hAnsi="ＭＳ 明朝" w:hint="eastAsia"/>
        </w:rPr>
        <w:t xml:space="preserve">　　き</w:t>
      </w:r>
    </w:p>
    <w:p w14:paraId="3603BFEE" w14:textId="77777777" w:rsidR="00A30DD2" w:rsidRDefault="00A30DD2">
      <w:pPr>
        <w:rPr>
          <w:rFonts w:ascii="ＭＳ 明朝" w:hAnsi="ＭＳ 明朝"/>
        </w:rPr>
      </w:pPr>
    </w:p>
    <w:p w14:paraId="48E6ED98" w14:textId="77777777" w:rsidR="00A30DD2" w:rsidRDefault="00E77E7A">
      <w:pPr>
        <w:rPr>
          <w:rFonts w:ascii="ＭＳ 明朝" w:hAnsi="ＭＳ 明朝"/>
        </w:rPr>
      </w:pPr>
      <w:r>
        <w:rPr>
          <w:rFonts w:ascii="ＭＳ 明朝" w:hAnsi="ＭＳ 明朝" w:hint="eastAsia"/>
        </w:rPr>
        <w:t>（処分留保）</w:t>
      </w:r>
    </w:p>
    <w:p w14:paraId="5E35BBC8" w14:textId="77777777" w:rsidR="00A30DD2" w:rsidRDefault="00E77E7A">
      <w:pPr>
        <w:ind w:left="210" w:hangingChars="100" w:hanging="210"/>
        <w:rPr>
          <w:rFonts w:ascii="ＭＳ 明朝" w:hAnsi="ＭＳ 明朝"/>
        </w:rPr>
      </w:pPr>
      <w:r>
        <w:rPr>
          <w:rFonts w:ascii="ＭＳ 明朝" w:hAnsi="ＭＳ 明朝" w:hint="eastAsia"/>
        </w:rPr>
        <w:t>第12条　前条の規定にかかわらず、組合員が精算できない事由を申し出て、理事会がその事由を正当と認めた場合は処分を留保する。</w:t>
      </w:r>
    </w:p>
    <w:p w14:paraId="4E71C025" w14:textId="77777777" w:rsidR="00A30DD2" w:rsidRDefault="00A30DD2">
      <w:pPr>
        <w:rPr>
          <w:rFonts w:ascii="ＭＳ 明朝" w:hAnsi="ＭＳ 明朝"/>
        </w:rPr>
      </w:pPr>
    </w:p>
    <w:p w14:paraId="7CE53922" w14:textId="77777777" w:rsidR="00A30DD2" w:rsidRDefault="00E77E7A">
      <w:pPr>
        <w:rPr>
          <w:rFonts w:ascii="ＭＳ 明朝" w:hAnsi="ＭＳ 明朝"/>
        </w:rPr>
      </w:pPr>
      <w:r>
        <w:rPr>
          <w:rFonts w:ascii="ＭＳ 明朝" w:hAnsi="ＭＳ 明朝" w:hint="eastAsia"/>
        </w:rPr>
        <w:t>（代行払停止の解除）</w:t>
      </w:r>
    </w:p>
    <w:p w14:paraId="00CDCA90" w14:textId="77777777" w:rsidR="00A30DD2" w:rsidRDefault="00E77E7A">
      <w:pPr>
        <w:ind w:left="210" w:hangingChars="100" w:hanging="210"/>
        <w:rPr>
          <w:rFonts w:ascii="ＭＳ 明朝" w:hAnsi="ＭＳ 明朝"/>
        </w:rPr>
      </w:pPr>
      <w:r>
        <w:rPr>
          <w:rFonts w:ascii="ＭＳ 明朝" w:hAnsi="ＭＳ 明朝" w:hint="eastAsia"/>
        </w:rPr>
        <w:t>第13条　代行払の停止処分を受けた組合員は、第５条に定める精算日までの全額を精算しなければ代行払停止を解除されない。</w:t>
      </w:r>
    </w:p>
    <w:p w14:paraId="71E09781" w14:textId="77777777" w:rsidR="00A30DD2" w:rsidRDefault="00A30DD2">
      <w:pPr>
        <w:rPr>
          <w:rFonts w:ascii="ＭＳ 明朝" w:hAnsi="ＭＳ 明朝"/>
        </w:rPr>
      </w:pPr>
    </w:p>
    <w:p w14:paraId="50211B9C" w14:textId="77777777" w:rsidR="00A30DD2" w:rsidRDefault="00E77E7A">
      <w:pPr>
        <w:rPr>
          <w:rFonts w:ascii="ＭＳ 明朝" w:hAnsi="ＭＳ 明朝"/>
        </w:rPr>
      </w:pPr>
      <w:r>
        <w:rPr>
          <w:rFonts w:ascii="ＭＳ 明朝" w:hAnsi="ＭＳ 明朝" w:hint="eastAsia"/>
        </w:rPr>
        <w:t>（代行払保証積立金）</w:t>
      </w:r>
    </w:p>
    <w:p w14:paraId="212D1CB2" w14:textId="77777777" w:rsidR="00A30DD2" w:rsidRDefault="00E77E7A">
      <w:pPr>
        <w:ind w:left="210" w:hangingChars="100" w:hanging="210"/>
        <w:rPr>
          <w:rFonts w:ascii="ＭＳ 明朝" w:hAnsi="ＭＳ 明朝"/>
        </w:rPr>
      </w:pPr>
      <w:r>
        <w:rPr>
          <w:rFonts w:ascii="ＭＳ 明朝" w:hAnsi="ＭＳ 明朝" w:hint="eastAsia"/>
        </w:rPr>
        <w:t xml:space="preserve">第14条　本組合は、代行払精算事業を継続継続し、○○○への代行払を保証するため、原則として、毎年の剰余金のうちから、代行払総額○分の○以上を代行払保証積立金として積立てるものとする。 </w:t>
      </w:r>
    </w:p>
    <w:p w14:paraId="5AB29727" w14:textId="77777777" w:rsidR="00A30DD2" w:rsidRDefault="00A30DD2">
      <w:pPr>
        <w:ind w:left="210" w:hangingChars="100" w:hanging="210"/>
        <w:rPr>
          <w:rFonts w:ascii="ＭＳ 明朝" w:hAnsi="ＭＳ 明朝"/>
        </w:rPr>
      </w:pPr>
    </w:p>
    <w:p w14:paraId="105D9FBE" w14:textId="77777777" w:rsidR="00A30DD2" w:rsidRDefault="00E77E7A">
      <w:pPr>
        <w:rPr>
          <w:rFonts w:ascii="ＭＳ 明朝" w:hAnsi="ＭＳ 明朝"/>
        </w:rPr>
      </w:pPr>
      <w:r>
        <w:rPr>
          <w:rFonts w:ascii="ＭＳ 明朝" w:hAnsi="ＭＳ 明朝" w:hint="eastAsia"/>
        </w:rPr>
        <w:t>（精算保証積立金）</w:t>
      </w:r>
    </w:p>
    <w:p w14:paraId="72C5F710" w14:textId="77777777" w:rsidR="00A30DD2" w:rsidRDefault="00E77E7A">
      <w:pPr>
        <w:ind w:left="210" w:hangingChars="100" w:hanging="210"/>
        <w:rPr>
          <w:rFonts w:ascii="ＭＳ 明朝" w:hAnsi="ＭＳ 明朝"/>
        </w:rPr>
      </w:pPr>
      <w:r>
        <w:rPr>
          <w:rFonts w:ascii="ＭＳ 明朝" w:hAnsi="ＭＳ 明朝" w:hint="eastAsia"/>
        </w:rPr>
        <w:t>第15条　組合員は、本組合への代行払精算を保証するため、原則として毎年剰余金処分として受ける代行払事業利用分量配当のうち、規定内精算総額の○分の○以上を代行払精算保証積立金として積立てるものとする。</w:t>
      </w:r>
    </w:p>
    <w:p w14:paraId="2FA4261C" w14:textId="77777777" w:rsidR="00A30DD2" w:rsidRDefault="00A30DD2">
      <w:pPr>
        <w:rPr>
          <w:rFonts w:ascii="ＭＳ 明朝" w:hAnsi="ＭＳ 明朝"/>
        </w:rPr>
      </w:pPr>
    </w:p>
    <w:p w14:paraId="4756DF68" w14:textId="77777777" w:rsidR="00A30DD2" w:rsidRDefault="00E77E7A">
      <w:pPr>
        <w:rPr>
          <w:rFonts w:ascii="ＭＳ 明朝" w:hAnsi="ＭＳ 明朝"/>
        </w:rPr>
      </w:pPr>
      <w:r>
        <w:rPr>
          <w:rFonts w:ascii="ＭＳ 明朝" w:hAnsi="ＭＳ 明朝" w:hint="eastAsia"/>
        </w:rPr>
        <w:t>（納税預金）</w:t>
      </w:r>
    </w:p>
    <w:p w14:paraId="6AC56D73" w14:textId="77777777" w:rsidR="00A30DD2" w:rsidRDefault="00E77E7A">
      <w:r>
        <w:rPr>
          <w:rFonts w:ascii="ＭＳ 明朝" w:hAnsi="ＭＳ 明朝" w:hint="eastAsia"/>
        </w:rPr>
        <w:t>第16条　組合員は、仕入代金精算の際、仕</w:t>
      </w:r>
      <w:r>
        <w:rPr>
          <w:rFonts w:hint="eastAsia"/>
        </w:rPr>
        <w:t>入の○割相当額の納税預金をするものとする。</w:t>
      </w:r>
    </w:p>
    <w:p w14:paraId="3304B85C" w14:textId="77777777" w:rsidR="00A30DD2" w:rsidRDefault="00E77E7A">
      <w:pPr>
        <w:rPr>
          <w:rFonts w:ascii="ＭＳ 明朝" w:hAnsi="ＭＳ 明朝"/>
        </w:rPr>
      </w:pPr>
      <w:r>
        <w:rPr>
          <w:rFonts w:ascii="ＭＳ 明朝" w:hAnsi="ＭＳ 明朝" w:hint="eastAsia"/>
        </w:rPr>
        <w:lastRenderedPageBreak/>
        <w:t>（その他）</w:t>
      </w:r>
    </w:p>
    <w:p w14:paraId="57216455" w14:textId="77777777" w:rsidR="00A30DD2" w:rsidRDefault="00E77E7A">
      <w:pPr>
        <w:rPr>
          <w:rFonts w:ascii="ＭＳ 明朝" w:hAnsi="ＭＳ 明朝"/>
        </w:rPr>
      </w:pPr>
      <w:r>
        <w:rPr>
          <w:rFonts w:ascii="ＭＳ 明朝" w:hAnsi="ＭＳ 明朝" w:hint="eastAsia"/>
        </w:rPr>
        <w:t>第17条　この規約に定めのない事項であって緊急かつ必要な事項は、理事会で決する。</w:t>
      </w:r>
    </w:p>
    <w:p w14:paraId="3712F296" w14:textId="77777777" w:rsidR="00A30DD2" w:rsidRDefault="00A30DD2">
      <w:pPr>
        <w:rPr>
          <w:rFonts w:ascii="ＭＳ 明朝" w:hAnsi="ＭＳ 明朝"/>
        </w:rPr>
      </w:pPr>
    </w:p>
    <w:p w14:paraId="6CF138EF" w14:textId="77777777" w:rsidR="00A30DD2" w:rsidRDefault="00E77E7A">
      <w:pPr>
        <w:rPr>
          <w:rFonts w:ascii="ＭＳ 明朝" w:hAnsi="ＭＳ 明朝"/>
        </w:rPr>
      </w:pPr>
      <w:r>
        <w:rPr>
          <w:rFonts w:ascii="ＭＳ 明朝" w:hAnsi="ＭＳ 明朝" w:hint="eastAsia"/>
        </w:rPr>
        <w:t>付　則</w:t>
      </w:r>
    </w:p>
    <w:p w14:paraId="7D221DDC" w14:textId="7FC5F750" w:rsidR="00E77E7A" w:rsidRDefault="00E77E7A">
      <w:r>
        <w:rPr>
          <w:rFonts w:ascii="ＭＳ 明朝" w:hAnsi="ＭＳ 明朝" w:hint="eastAsia"/>
        </w:rPr>
        <w:t>この規約は、</w:t>
      </w:r>
      <w:r w:rsidR="00093757">
        <w:rPr>
          <w:rFonts w:ascii="ＭＳ 明朝" w:hAnsi="ＭＳ 明朝" w:hint="eastAsia"/>
        </w:rPr>
        <w:t>令和</w:t>
      </w:r>
      <w:r>
        <w:rPr>
          <w:rFonts w:hint="eastAsia"/>
        </w:rPr>
        <w:t>○年○月○日から施行する。</w:t>
      </w:r>
    </w:p>
    <w:sectPr w:rsidR="00E77E7A">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CAE"/>
    <w:rsid w:val="00093757"/>
    <w:rsid w:val="00421CAE"/>
    <w:rsid w:val="00A30DD2"/>
    <w:rsid w:val="00E52CC1"/>
    <w:rsid w:val="00E7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340C7A"/>
  <w15:chartTrackingRefBased/>
  <w15:docId w15:val="{FBB8D451-6D32-4295-BA25-3E0FE7A5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2020-12-11T05:02:00Z</dcterms:created>
  <dcterms:modified xsi:type="dcterms:W3CDTF">2020-12-11T05:38:00Z</dcterms:modified>
</cp:coreProperties>
</file>